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6F60" w14:textId="7970DCE0" w:rsidR="009F25CC" w:rsidRPr="00537457" w:rsidRDefault="00402A28" w:rsidP="00537457">
      <w:pPr>
        <w:jc w:val="center"/>
        <w:rPr>
          <w:b/>
        </w:rPr>
      </w:pPr>
      <w:r w:rsidRPr="00537457">
        <w:rPr>
          <w:b/>
        </w:rPr>
        <w:t xml:space="preserve">Planning Ahead </w:t>
      </w:r>
      <w:r w:rsidR="007A57F4">
        <w:rPr>
          <w:b/>
        </w:rPr>
        <w:t>with</w:t>
      </w:r>
      <w:r w:rsidRPr="00537457">
        <w:rPr>
          <w:b/>
        </w:rPr>
        <w:t xml:space="preserve"> IRAs</w:t>
      </w:r>
    </w:p>
    <w:p w14:paraId="7560703E" w14:textId="6A54AC8B" w:rsidR="00537457" w:rsidRDefault="00C76DE1">
      <w:r>
        <w:t xml:space="preserve">The </w:t>
      </w:r>
      <w:r w:rsidR="00C52EE8">
        <w:t xml:space="preserve">new </w:t>
      </w:r>
      <w:r>
        <w:t xml:space="preserve">tax law </w:t>
      </w:r>
      <w:r w:rsidR="0021279E">
        <w:t xml:space="preserve">that </w:t>
      </w:r>
      <w:r w:rsidR="00DA000C">
        <w:t>passed at the end of 2017</w:t>
      </w:r>
      <w:r w:rsidR="00A11C1F">
        <w:t xml:space="preserve"> </w:t>
      </w:r>
      <w:r>
        <w:t xml:space="preserve">contains significant changes for many taxpayers, but </w:t>
      </w:r>
      <w:r w:rsidR="0021279E">
        <w:t xml:space="preserve">most </w:t>
      </w:r>
      <w:r w:rsidR="00A11C1F">
        <w:t xml:space="preserve">rules for </w:t>
      </w:r>
      <w:r>
        <w:t xml:space="preserve">retirement accounts were </w:t>
      </w:r>
      <w:hyperlink r:id="rId6" w:history="1">
        <w:r w:rsidRPr="007B4DF9">
          <w:rPr>
            <w:rStyle w:val="Hyperlink"/>
          </w:rPr>
          <w:t>generally un</w:t>
        </w:r>
        <w:r w:rsidR="0021279E" w:rsidRPr="007B4DF9">
          <w:rPr>
            <w:rStyle w:val="Hyperlink"/>
          </w:rPr>
          <w:t>affected</w:t>
        </w:r>
        <w:r w:rsidRPr="007B4DF9">
          <w:rPr>
            <w:rStyle w:val="Hyperlink"/>
          </w:rPr>
          <w:t xml:space="preserve"> by the legislation</w:t>
        </w:r>
      </w:hyperlink>
      <w:r>
        <w:t>.</w:t>
      </w:r>
      <w:r w:rsidR="00A11C1F">
        <w:t xml:space="preserve"> As a result, the</w:t>
      </w:r>
      <w:r w:rsidR="00C52EE8">
        <w:t>se accounts</w:t>
      </w:r>
      <w:r w:rsidR="00A11C1F">
        <w:t xml:space="preserve"> remain </w:t>
      </w:r>
      <w:r w:rsidR="00470C81">
        <w:t>a valuable tool</w:t>
      </w:r>
      <w:r w:rsidR="00A11C1F">
        <w:t xml:space="preserve"> for minimizing taxes and </w:t>
      </w:r>
      <w:r w:rsidR="00537457">
        <w:t xml:space="preserve">securing your financial future, according to the </w:t>
      </w:r>
      <w:r w:rsidR="003A1444">
        <w:t>Massachusetts</w:t>
      </w:r>
      <w:r w:rsidR="00537457">
        <w:t xml:space="preserve"> Society of CPAs. Here’s a review of what’s </w:t>
      </w:r>
      <w:r w:rsidR="00F131A1">
        <w:t>new, what’s not</w:t>
      </w:r>
      <w:r w:rsidR="0073720E">
        <w:t>,</w:t>
      </w:r>
      <w:r w:rsidR="00537457">
        <w:t xml:space="preserve"> and how to make the most of your choices. </w:t>
      </w:r>
    </w:p>
    <w:p w14:paraId="6F78DA7B" w14:textId="7398597D" w:rsidR="009B39DD" w:rsidRPr="00DA000C" w:rsidRDefault="007B4DF9">
      <w:pPr>
        <w:rPr>
          <w:b/>
        </w:rPr>
      </w:pPr>
      <w:hyperlink r:id="rId7" w:history="1">
        <w:r w:rsidR="009B39DD" w:rsidRPr="007B4DF9">
          <w:rPr>
            <w:rStyle w:val="Hyperlink"/>
          </w:rPr>
          <w:t>What Has Changed?</w:t>
        </w:r>
      </w:hyperlink>
    </w:p>
    <w:p w14:paraId="02E8ABA1" w14:textId="0FCEAB41" w:rsidR="009B39DD" w:rsidRDefault="009B39DD">
      <w:r>
        <w:t>One provision of the new tax law that does have an impact on retire</w:t>
      </w:r>
      <w:bookmarkStart w:id="0" w:name="_GoBack"/>
      <w:bookmarkEnd w:id="0"/>
      <w:r>
        <w:t xml:space="preserve">ment accounts is the end of </w:t>
      </w:r>
      <w:r w:rsidR="002F37E7">
        <w:t>the chance to “recharacterize” a Roth IRA. With a Roth IRA, you don’t receive a tax deduction for your contributions now</w:t>
      </w:r>
      <w:r w:rsidR="002C0659">
        <w:t>,</w:t>
      </w:r>
      <w:r w:rsidR="002F37E7">
        <w:t xml:space="preserve"> but you </w:t>
      </w:r>
      <w:r w:rsidR="0073720E">
        <w:t xml:space="preserve">also </w:t>
      </w:r>
      <w:r w:rsidR="002F37E7">
        <w:t xml:space="preserve">don’t have to pay taxes on withdrawals in retirement. The opposite is true of traditional IRAs: You get a deduction today but owe taxes on account withdrawals later. </w:t>
      </w:r>
      <w:r w:rsidR="009138B3">
        <w:t>S</w:t>
      </w:r>
      <w:r w:rsidR="002F37E7">
        <w:t xml:space="preserve">ome people choose to </w:t>
      </w:r>
      <w:r w:rsidR="0073720E">
        <w:t>take</w:t>
      </w:r>
      <w:r w:rsidR="002F37E7">
        <w:t xml:space="preserve"> funds from a traditional IRA and </w:t>
      </w:r>
      <w:r w:rsidR="0073720E">
        <w:t>convert</w:t>
      </w:r>
      <w:r w:rsidR="002F37E7">
        <w:t xml:space="preserve"> them over into a Roth IRA. Up until now, they were also able to recharacterize the Roth IRA back into a traditional IRA</w:t>
      </w:r>
      <w:r w:rsidR="009138B3">
        <w:t xml:space="preserve"> if they chose to do so</w:t>
      </w:r>
      <w:r w:rsidR="002F37E7">
        <w:t xml:space="preserve">, </w:t>
      </w:r>
      <w:r w:rsidR="009138B3">
        <w:t xml:space="preserve">often </w:t>
      </w:r>
      <w:r w:rsidR="000E7725">
        <w:t>based on</w:t>
      </w:r>
      <w:r w:rsidR="002F37E7">
        <w:t xml:space="preserve"> a change in financial circumstances</w:t>
      </w:r>
      <w:r w:rsidR="009138B3">
        <w:t>, such as a decrease in income or increase in expenses</w:t>
      </w:r>
      <w:r w:rsidR="002F37E7">
        <w:t xml:space="preserve">. </w:t>
      </w:r>
      <w:r w:rsidR="002C0659">
        <w:t xml:space="preserve">The new legislation eliminates the recharacterization </w:t>
      </w:r>
      <w:r w:rsidR="000E7725">
        <w:t xml:space="preserve">or “do over” </w:t>
      </w:r>
      <w:r w:rsidR="002C0659">
        <w:t xml:space="preserve">option. </w:t>
      </w:r>
    </w:p>
    <w:p w14:paraId="0FBEE779" w14:textId="3CE80738" w:rsidR="00BF7B37" w:rsidRPr="00DA000C" w:rsidRDefault="007B4DF9">
      <w:pPr>
        <w:rPr>
          <w:b/>
        </w:rPr>
      </w:pPr>
      <w:hyperlink r:id="rId8" w:history="1">
        <w:r w:rsidR="00BF7B37" w:rsidRPr="007B4DF9">
          <w:rPr>
            <w:rStyle w:val="Hyperlink"/>
          </w:rPr>
          <w:t xml:space="preserve">What Are </w:t>
        </w:r>
        <w:r w:rsidR="00F131A1" w:rsidRPr="007B4DF9">
          <w:rPr>
            <w:rStyle w:val="Hyperlink"/>
          </w:rPr>
          <w:t xml:space="preserve">2018 </w:t>
        </w:r>
        <w:r w:rsidR="00BF7B37" w:rsidRPr="007B4DF9">
          <w:rPr>
            <w:rStyle w:val="Hyperlink"/>
          </w:rPr>
          <w:t>IRA Limits?</w:t>
        </w:r>
      </w:hyperlink>
      <w:r w:rsidR="00BF7B37" w:rsidRPr="00DA000C">
        <w:rPr>
          <w:b/>
        </w:rPr>
        <w:t xml:space="preserve"> </w:t>
      </w:r>
    </w:p>
    <w:p w14:paraId="29C2C4A1" w14:textId="3420AB02" w:rsidR="00BF7B37" w:rsidRDefault="00BF7B37">
      <w:r>
        <w:t>The contribution limit</w:t>
      </w:r>
      <w:r w:rsidR="000669ED">
        <w:t xml:space="preserve"> </w:t>
      </w:r>
      <w:r>
        <w:t>for both traditional and Roth IRAs remain</w:t>
      </w:r>
      <w:r w:rsidR="000669ED">
        <w:t>s</w:t>
      </w:r>
      <w:r>
        <w:t xml:space="preserve"> at $5,500 in 2018, the same as </w:t>
      </w:r>
      <w:r w:rsidR="000669ED">
        <w:t xml:space="preserve">it was </w:t>
      </w:r>
      <w:r>
        <w:t>in 2017.</w:t>
      </w:r>
      <w:r w:rsidR="005860EE">
        <w:t xml:space="preserve"> If you’re</w:t>
      </w:r>
      <w:r w:rsidR="000669ED">
        <w:t xml:space="preserve"> 50 or</w:t>
      </w:r>
      <w:r w:rsidR="005860EE">
        <w:t xml:space="preserve"> over, you can chip in an additional $1,000 catch-up contribution to enhance your retirement savings. </w:t>
      </w:r>
      <w:r w:rsidR="006411C5">
        <w:t>Be aware that there are also income limits that may prevent some taxpayers from</w:t>
      </w:r>
      <w:r w:rsidR="00845915">
        <w:t xml:space="preserve"> </w:t>
      </w:r>
      <w:r w:rsidR="000C25DB">
        <w:t xml:space="preserve">fully contributing or </w:t>
      </w:r>
      <w:r w:rsidR="00845915">
        <w:t>deducting their</w:t>
      </w:r>
      <w:r w:rsidR="006411C5">
        <w:t xml:space="preserve"> contributi</w:t>
      </w:r>
      <w:r w:rsidR="00845915">
        <w:t>ons</w:t>
      </w:r>
      <w:r w:rsidR="006411C5">
        <w:t xml:space="preserve"> to these plans</w:t>
      </w:r>
      <w:r w:rsidR="004913C5">
        <w:t>, but the good news is that the</w:t>
      </w:r>
      <w:r w:rsidR="000669ED">
        <w:t xml:space="preserve"> limits</w:t>
      </w:r>
      <w:r w:rsidR="004913C5">
        <w:t xml:space="preserve"> have gone up in 2018</w:t>
      </w:r>
      <w:r w:rsidR="006411C5">
        <w:t xml:space="preserve">. For traditional IRAs, the amount </w:t>
      </w:r>
      <w:r w:rsidR="00845915">
        <w:t>single filers</w:t>
      </w:r>
      <w:r w:rsidR="006411C5">
        <w:t xml:space="preserve"> can </w:t>
      </w:r>
      <w:r w:rsidR="00845915">
        <w:t>deduct</w:t>
      </w:r>
      <w:r w:rsidR="006411C5">
        <w:t xml:space="preserve"> will begin to decline (or phase</w:t>
      </w:r>
      <w:r w:rsidR="004913C5">
        <w:t xml:space="preserve"> </w:t>
      </w:r>
      <w:r w:rsidR="006411C5">
        <w:t xml:space="preserve">out) if you </w:t>
      </w:r>
      <w:r w:rsidR="004913C5">
        <w:t xml:space="preserve">have modified adjusted gross income </w:t>
      </w:r>
      <w:r w:rsidR="0073720E">
        <w:t>o</w:t>
      </w:r>
      <w:r w:rsidR="004913C5">
        <w:t>f</w:t>
      </w:r>
      <w:r w:rsidR="006411C5">
        <w:t xml:space="preserve"> $63,000 or more and you will not be allowed a </w:t>
      </w:r>
      <w:r w:rsidR="00845915">
        <w:t>deduction</w:t>
      </w:r>
      <w:r w:rsidR="006411C5">
        <w:t xml:space="preserve"> if you earn $73,000 or more. For married couples filing jointly, </w:t>
      </w:r>
      <w:r w:rsidR="004913C5">
        <w:t>the phase out begins if you have a combined MAGI</w:t>
      </w:r>
      <w:r w:rsidR="000B143D">
        <w:t xml:space="preserve"> (modified adjusted gross income)</w:t>
      </w:r>
      <w:r w:rsidR="004913C5">
        <w:t xml:space="preserve"> of $101,000 and you won’t be able to </w:t>
      </w:r>
      <w:r w:rsidR="00845915">
        <w:t>deduct</w:t>
      </w:r>
      <w:r w:rsidR="004913C5">
        <w:t xml:space="preserve"> with a combined MAGI of $121,000 or higher. There are no income limits for single people and married couples filing jointly who are not covered by an employer </w:t>
      </w:r>
      <w:r w:rsidR="00845915">
        <w:t>retirement</w:t>
      </w:r>
      <w:r w:rsidR="004913C5">
        <w:t xml:space="preserve"> plan</w:t>
      </w:r>
      <w:r w:rsidR="00936164">
        <w:t>,</w:t>
      </w:r>
      <w:r w:rsidR="004913C5">
        <w:t xml:space="preserve"> and </w:t>
      </w:r>
      <w:r w:rsidR="00936164">
        <w:t xml:space="preserve">there are </w:t>
      </w:r>
      <w:r w:rsidR="004913C5">
        <w:t xml:space="preserve">higher limits for married couples filing jointly when only one spouse has an employer plan. </w:t>
      </w:r>
      <w:r w:rsidR="002B61C6">
        <w:t xml:space="preserve">With </w:t>
      </w:r>
      <w:r w:rsidR="00936164">
        <w:t xml:space="preserve">a </w:t>
      </w:r>
      <w:r w:rsidR="002B61C6">
        <w:t xml:space="preserve">Roth IRA, the phase-out range </w:t>
      </w:r>
      <w:r w:rsidR="00845915">
        <w:t xml:space="preserve">for contributions </w:t>
      </w:r>
      <w:r w:rsidR="002B61C6">
        <w:t xml:space="preserve">starts at $120,000 and ends at $135,000 for single people, and begins at $189,000 and ends at $199,000 for married couples filing jointly.   </w:t>
      </w:r>
    </w:p>
    <w:p w14:paraId="2FFE2CC1" w14:textId="4C9EBDE6" w:rsidR="00402A28" w:rsidRPr="00DA000C" w:rsidRDefault="007B4DF9">
      <w:pPr>
        <w:rPr>
          <w:b/>
        </w:rPr>
      </w:pPr>
      <w:hyperlink r:id="rId9" w:anchor="145ce6a6695e" w:history="1">
        <w:r w:rsidR="00F55DED" w:rsidRPr="007B4DF9">
          <w:rPr>
            <w:rStyle w:val="Hyperlink"/>
          </w:rPr>
          <w:t>What’s Different in Workplace Plans?</w:t>
        </w:r>
      </w:hyperlink>
    </w:p>
    <w:p w14:paraId="5AD3B937" w14:textId="7960243F" w:rsidR="00F55DED" w:rsidRDefault="00F55DED">
      <w:r>
        <w:t xml:space="preserve">CPAs recommend taking advantage of the chance to contribute to employer </w:t>
      </w:r>
      <w:r w:rsidR="00AD3946">
        <w:t>retirement</w:t>
      </w:r>
      <w:r>
        <w:t xml:space="preserve"> plans. For 401(k)s, 403(b)s, 457(b)s and the Federal Thrift Plan, the maximum contribution rose $500 in 2018, to $18,500, with those 50 or over able to save an additional $6,000. </w:t>
      </w:r>
      <w:r w:rsidR="00AF201C">
        <w:t xml:space="preserve">If you’re self-employed or run a small business, don’t forget the significant tax advantages and saving opportunities available in </w:t>
      </w:r>
      <w:r w:rsidR="00F873AD">
        <w:t>retirement plans designe</w:t>
      </w:r>
      <w:r w:rsidR="000B143D">
        <w:t>d especially for you</w:t>
      </w:r>
      <w:r w:rsidR="00F873AD">
        <w:t xml:space="preserve">. They include SIMPLE IRAs, SIMPLE 401(k)s, SEP-IRAs and Solo 401(k)s. </w:t>
      </w:r>
    </w:p>
    <w:p w14:paraId="60AD2FDA" w14:textId="6C215E22" w:rsidR="00FE4357" w:rsidRPr="00DA000C" w:rsidRDefault="007B4DF9">
      <w:pPr>
        <w:rPr>
          <w:b/>
        </w:rPr>
      </w:pPr>
      <w:hyperlink r:id="rId10" w:history="1">
        <w:r w:rsidR="00FE4357" w:rsidRPr="007B4DF9">
          <w:rPr>
            <w:rStyle w:val="Hyperlink"/>
          </w:rPr>
          <w:t>Can I Still Contribute?</w:t>
        </w:r>
      </w:hyperlink>
    </w:p>
    <w:p w14:paraId="1FC4266B" w14:textId="682965C4" w:rsidR="00FE4357" w:rsidRDefault="00FE4357">
      <w:r>
        <w:t xml:space="preserve">Yes! </w:t>
      </w:r>
      <w:r w:rsidR="007B5E6E">
        <w:t xml:space="preserve">The deadline for making </w:t>
      </w:r>
      <w:r w:rsidR="00936164">
        <w:t xml:space="preserve">2017 </w:t>
      </w:r>
      <w:r w:rsidR="007B5E6E">
        <w:t xml:space="preserve">contributions </w:t>
      </w:r>
      <w:r w:rsidR="00272D35">
        <w:t xml:space="preserve">to an IRA </w:t>
      </w:r>
      <w:r w:rsidR="007B5E6E">
        <w:t>is April 1</w:t>
      </w:r>
      <w:r w:rsidR="00FB3DCA">
        <w:t>7</w:t>
      </w:r>
      <w:r w:rsidR="007B5E6E">
        <w:t>, 2018. There’s still time to get a deduction and pump up your retirement nest egg.</w:t>
      </w:r>
    </w:p>
    <w:p w14:paraId="45481C6A" w14:textId="425844BB" w:rsidR="007B5E6E" w:rsidRPr="00DA000C" w:rsidRDefault="007B5E6E">
      <w:pPr>
        <w:rPr>
          <w:b/>
        </w:rPr>
      </w:pPr>
      <w:r w:rsidRPr="00DA000C">
        <w:rPr>
          <w:b/>
        </w:rPr>
        <w:lastRenderedPageBreak/>
        <w:t>Turn to Your Local CPA</w:t>
      </w:r>
    </w:p>
    <w:p w14:paraId="4F519D83" w14:textId="612CAD74" w:rsidR="007B5E6E" w:rsidRDefault="00EE1DCF">
      <w:r>
        <w:t xml:space="preserve">Whether you have questions about retirement planning, new tax rules or any other aspect of your financial life, your local CPA can help. Contact him or her with all your financial </w:t>
      </w:r>
      <w:r w:rsidR="00936164">
        <w:t>concerns</w:t>
      </w:r>
      <w:r>
        <w:t xml:space="preserve">. </w:t>
      </w:r>
      <w:r w:rsidR="001A4C69">
        <w:t xml:space="preserve">Find one near you at </w:t>
      </w:r>
      <w:hyperlink r:id="rId11" w:history="1">
        <w:r w:rsidR="007B4DF9" w:rsidRPr="007B4DF9">
          <w:rPr>
            <w:rStyle w:val="Hyperlink"/>
          </w:rPr>
          <w:t>mscpaonline.org/findacpa</w:t>
        </w:r>
      </w:hyperlink>
      <w:r w:rsidR="001A4C69">
        <w:t xml:space="preserve">. </w:t>
      </w:r>
    </w:p>
    <w:sectPr w:rsidR="007B5E6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1254" w14:textId="77777777" w:rsidR="00FC2E62" w:rsidRDefault="00FC2E62" w:rsidP="0018081B">
      <w:pPr>
        <w:spacing w:after="0" w:line="240" w:lineRule="auto"/>
      </w:pPr>
      <w:r>
        <w:separator/>
      </w:r>
    </w:p>
  </w:endnote>
  <w:endnote w:type="continuationSeparator" w:id="0">
    <w:p w14:paraId="3EE92CCF" w14:textId="77777777" w:rsidR="00FC2E62" w:rsidRDefault="00FC2E62" w:rsidP="0018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23E0" w14:textId="17AE487F" w:rsidR="0018081B" w:rsidRDefault="0018081B">
    <w:pPr>
      <w:pStyle w:val="Footer"/>
    </w:pPr>
  </w:p>
  <w:p w14:paraId="141FFD64" w14:textId="77777777" w:rsidR="0018081B" w:rsidRPr="00AA7E63" w:rsidRDefault="0018081B" w:rsidP="0018081B">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8</w:t>
    </w:r>
    <w:r w:rsidRPr="00AA7E63">
      <w:rPr>
        <w:rFonts w:ascii="Times New Roman" w:hAnsi="Times New Roman" w:cs="Times New Roman"/>
        <w:sz w:val="20"/>
        <w:szCs w:val="20"/>
      </w:rPr>
      <w:t xml:space="preserve"> The American Institute of Certified Public Accountants. </w:t>
    </w:r>
  </w:p>
  <w:p w14:paraId="1B0BF09D" w14:textId="420367B4" w:rsidR="0018081B" w:rsidRDefault="0018081B">
    <w:pPr>
      <w:pStyle w:val="Footer"/>
    </w:pPr>
  </w:p>
  <w:p w14:paraId="35140CB4" w14:textId="77777777" w:rsidR="0018081B" w:rsidRDefault="0018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26D1" w14:textId="77777777" w:rsidR="00FC2E62" w:rsidRDefault="00FC2E62" w:rsidP="0018081B">
      <w:pPr>
        <w:spacing w:after="0" w:line="240" w:lineRule="auto"/>
      </w:pPr>
      <w:r>
        <w:separator/>
      </w:r>
    </w:p>
  </w:footnote>
  <w:footnote w:type="continuationSeparator" w:id="0">
    <w:p w14:paraId="7E56C0C5" w14:textId="77777777" w:rsidR="00FC2E62" w:rsidRDefault="00FC2E62" w:rsidP="00180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8"/>
    <w:rsid w:val="000669ED"/>
    <w:rsid w:val="000B143D"/>
    <w:rsid w:val="000C25DB"/>
    <w:rsid w:val="000E7725"/>
    <w:rsid w:val="0018081B"/>
    <w:rsid w:val="001A4C69"/>
    <w:rsid w:val="0021279E"/>
    <w:rsid w:val="00272D35"/>
    <w:rsid w:val="00284C52"/>
    <w:rsid w:val="002B61C6"/>
    <w:rsid w:val="002C0659"/>
    <w:rsid w:val="002F37E7"/>
    <w:rsid w:val="003A1444"/>
    <w:rsid w:val="00402A28"/>
    <w:rsid w:val="00470C81"/>
    <w:rsid w:val="004913C5"/>
    <w:rsid w:val="00537457"/>
    <w:rsid w:val="005860EE"/>
    <w:rsid w:val="006411C5"/>
    <w:rsid w:val="0073720E"/>
    <w:rsid w:val="007A57F4"/>
    <w:rsid w:val="007B4DF9"/>
    <w:rsid w:val="007B5E6E"/>
    <w:rsid w:val="00845915"/>
    <w:rsid w:val="008B68AA"/>
    <w:rsid w:val="009138B3"/>
    <w:rsid w:val="00936164"/>
    <w:rsid w:val="00954A9D"/>
    <w:rsid w:val="009B39DD"/>
    <w:rsid w:val="009F25CC"/>
    <w:rsid w:val="00A11C1F"/>
    <w:rsid w:val="00A45382"/>
    <w:rsid w:val="00AA6A7F"/>
    <w:rsid w:val="00AD3946"/>
    <w:rsid w:val="00AF201C"/>
    <w:rsid w:val="00BF7B37"/>
    <w:rsid w:val="00C52EE8"/>
    <w:rsid w:val="00C76DE1"/>
    <w:rsid w:val="00DA000C"/>
    <w:rsid w:val="00EE1DCF"/>
    <w:rsid w:val="00F131A1"/>
    <w:rsid w:val="00F14B19"/>
    <w:rsid w:val="00F55DED"/>
    <w:rsid w:val="00F873AD"/>
    <w:rsid w:val="00FB3DCA"/>
    <w:rsid w:val="00FC2E62"/>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BA2A"/>
  <w15:docId w15:val="{211E6552-C983-4FA8-8D08-B572B74B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7B37"/>
    <w:rPr>
      <w:sz w:val="16"/>
      <w:szCs w:val="16"/>
    </w:rPr>
  </w:style>
  <w:style w:type="paragraph" w:styleId="CommentText">
    <w:name w:val="annotation text"/>
    <w:basedOn w:val="Normal"/>
    <w:link w:val="CommentTextChar"/>
    <w:uiPriority w:val="99"/>
    <w:semiHidden/>
    <w:unhideWhenUsed/>
    <w:rsid w:val="00BF7B37"/>
    <w:pPr>
      <w:spacing w:line="240" w:lineRule="auto"/>
    </w:pPr>
    <w:rPr>
      <w:sz w:val="20"/>
      <w:szCs w:val="20"/>
    </w:rPr>
  </w:style>
  <w:style w:type="character" w:customStyle="1" w:styleId="CommentTextChar">
    <w:name w:val="Comment Text Char"/>
    <w:basedOn w:val="DefaultParagraphFont"/>
    <w:link w:val="CommentText"/>
    <w:uiPriority w:val="99"/>
    <w:semiHidden/>
    <w:rsid w:val="00BF7B37"/>
    <w:rPr>
      <w:sz w:val="20"/>
      <w:szCs w:val="20"/>
    </w:rPr>
  </w:style>
  <w:style w:type="paragraph" w:styleId="CommentSubject">
    <w:name w:val="annotation subject"/>
    <w:basedOn w:val="CommentText"/>
    <w:next w:val="CommentText"/>
    <w:link w:val="CommentSubjectChar"/>
    <w:uiPriority w:val="99"/>
    <w:semiHidden/>
    <w:unhideWhenUsed/>
    <w:rsid w:val="00BF7B37"/>
    <w:rPr>
      <w:b/>
      <w:bCs/>
    </w:rPr>
  </w:style>
  <w:style w:type="character" w:customStyle="1" w:styleId="CommentSubjectChar">
    <w:name w:val="Comment Subject Char"/>
    <w:basedOn w:val="CommentTextChar"/>
    <w:link w:val="CommentSubject"/>
    <w:uiPriority w:val="99"/>
    <w:semiHidden/>
    <w:rsid w:val="00BF7B37"/>
    <w:rPr>
      <w:b/>
      <w:bCs/>
      <w:sz w:val="20"/>
      <w:szCs w:val="20"/>
    </w:rPr>
  </w:style>
  <w:style w:type="paragraph" w:styleId="BalloonText">
    <w:name w:val="Balloon Text"/>
    <w:basedOn w:val="Normal"/>
    <w:link w:val="BalloonTextChar"/>
    <w:uiPriority w:val="99"/>
    <w:semiHidden/>
    <w:unhideWhenUsed/>
    <w:rsid w:val="00BF7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37"/>
    <w:rPr>
      <w:rFonts w:ascii="Segoe UI" w:hAnsi="Segoe UI" w:cs="Segoe UI"/>
      <w:sz w:val="18"/>
      <w:szCs w:val="18"/>
    </w:rPr>
  </w:style>
  <w:style w:type="character" w:styleId="Hyperlink">
    <w:name w:val="Hyperlink"/>
    <w:basedOn w:val="DefaultParagraphFont"/>
    <w:uiPriority w:val="99"/>
    <w:unhideWhenUsed/>
    <w:rsid w:val="00BF7B37"/>
    <w:rPr>
      <w:color w:val="0563C1" w:themeColor="hyperlink"/>
      <w:u w:val="single"/>
    </w:rPr>
  </w:style>
  <w:style w:type="character" w:customStyle="1" w:styleId="UnresolvedMention1">
    <w:name w:val="Unresolved Mention1"/>
    <w:basedOn w:val="DefaultParagraphFont"/>
    <w:uiPriority w:val="99"/>
    <w:semiHidden/>
    <w:unhideWhenUsed/>
    <w:rsid w:val="00BF7B37"/>
    <w:rPr>
      <w:color w:val="808080"/>
      <w:shd w:val="clear" w:color="auto" w:fill="E6E6E6"/>
    </w:rPr>
  </w:style>
  <w:style w:type="character" w:styleId="FollowedHyperlink">
    <w:name w:val="FollowedHyperlink"/>
    <w:basedOn w:val="DefaultParagraphFont"/>
    <w:uiPriority w:val="99"/>
    <w:semiHidden/>
    <w:unhideWhenUsed/>
    <w:rsid w:val="000E7725"/>
    <w:rPr>
      <w:color w:val="954F72" w:themeColor="followedHyperlink"/>
      <w:u w:val="single"/>
    </w:rPr>
  </w:style>
  <w:style w:type="paragraph" w:styleId="Header">
    <w:name w:val="header"/>
    <w:basedOn w:val="Normal"/>
    <w:link w:val="HeaderChar"/>
    <w:uiPriority w:val="99"/>
    <w:unhideWhenUsed/>
    <w:rsid w:val="0018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81B"/>
  </w:style>
  <w:style w:type="paragraph" w:styleId="Footer">
    <w:name w:val="footer"/>
    <w:basedOn w:val="Normal"/>
    <w:link w:val="FooterChar"/>
    <w:uiPriority w:val="99"/>
    <w:unhideWhenUsed/>
    <w:rsid w:val="0018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81B"/>
  </w:style>
  <w:style w:type="paragraph" w:styleId="Revision">
    <w:name w:val="Revision"/>
    <w:hidden/>
    <w:uiPriority w:val="99"/>
    <w:semiHidden/>
    <w:rsid w:val="001A4C69"/>
    <w:pPr>
      <w:spacing w:after="0" w:line="240" w:lineRule="auto"/>
    </w:pPr>
  </w:style>
  <w:style w:type="character" w:styleId="UnresolvedMention">
    <w:name w:val="Unresolved Mention"/>
    <w:basedOn w:val="DefaultParagraphFont"/>
    <w:uiPriority w:val="99"/>
    <w:semiHidden/>
    <w:unhideWhenUsed/>
    <w:rsid w:val="007B4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irs-announces-2018-pension-plan-limitations-401k-contribution-limit-increases-to-18500-for-20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hira.com/roth-ira-conversion-rul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delity.com/viewpoints/personal-finance/tax-proposal-details" TargetMode="External"/><Relationship Id="rId11" Type="http://schemas.openxmlformats.org/officeDocument/2006/relationships/hyperlink" Target="http://www.mscpaonline.org/findacpa" TargetMode="External"/><Relationship Id="rId5" Type="http://schemas.openxmlformats.org/officeDocument/2006/relationships/endnotes" Target="endnotes.xml"/><Relationship Id="rId10" Type="http://schemas.openxmlformats.org/officeDocument/2006/relationships/hyperlink" Target="https://www.irs.gov/retirement-plans/ira-year-end-reminders" TargetMode="External"/><Relationship Id="rId4" Type="http://schemas.openxmlformats.org/officeDocument/2006/relationships/footnotes" Target="footnotes.xml"/><Relationship Id="rId9" Type="http://schemas.openxmlformats.org/officeDocument/2006/relationships/hyperlink" Target="https://www.forbes.com/sites/adp/2017/12/05/3-strategies-for-better-interdepartmental-commun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Hannah Naranjo</cp:lastModifiedBy>
  <cp:revision>5</cp:revision>
  <dcterms:created xsi:type="dcterms:W3CDTF">2018-02-27T13:07:00Z</dcterms:created>
  <dcterms:modified xsi:type="dcterms:W3CDTF">2018-03-19T19:33:00Z</dcterms:modified>
</cp:coreProperties>
</file>